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20"/>
        <w:jc w:val="center"/>
      </w:pPr>
      <w:r>
        <w:drawing>
          <wp:inline distT="0" distB="0" distL="0" distR="0">
            <wp:extent cx="3619500" cy="111442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3619500" cy="1114425"/>
                    </a:xfrm>
                    <a:prstGeom prst="rect">
                      <a:avLst/>
                    </a:prstGeom>
                  </pic:spPr>
                </pic:pic>
              </a:graphicData>
            </a:graphic>
          </wp:inline>
        </w:drawing>
      </w:r>
    </w:p>
    <w:p>
      <w:pPr>
        <w:pBdr>
          <w:bottom w:val="single" w:color="C9D3D8" w:sz="6" w:space="1"/>
        </w:pBdr>
        <w:spacing w:after="200"/>
      </w:pPr>
    </w:p>
    <w:p>
      <w:pPr>
        <w:spacing w:after="40"/>
        <w:jc w:val="center"/>
      </w:pPr>
      <w:r>
        <w:rPr>
          <w:rFonts w:ascii="Playfair Display" w:cs="Playfair Display" w:eastAsia="Playfair Display" w:hAnsi="Playfair Display"/>
          <w:b/>
          <w:bCs/>
          <w:color w:val="0D1729"/>
          <w:sz w:val="30"/>
          <w:szCs w:val="30"/>
        </w:rPr>
        <w:t xml:space="preserve">FULL ARCH IMPLANT TREATMENT</w:t>
      </w:r>
    </w:p>
    <w:p>
      <w:pPr>
        <w:spacing w:after="240"/>
        <w:jc w:val="center"/>
      </w:pPr>
      <w:r>
        <w:rPr>
          <w:rFonts w:ascii="Playfair Display" w:cs="Playfair Display" w:eastAsia="Playfair Display" w:hAnsi="Playfair Display"/>
          <w:i/>
          <w:iCs/>
          <w:color w:val="B78A69"/>
          <w:sz w:val="20"/>
          <w:szCs w:val="20"/>
        </w:rPr>
        <w:t xml:space="preserve">Procedure-Specific Informed Consent</w:t>
      </w:r>
    </w:p>
    <w:p>
      <w:pPr>
        <w:pBdr>
          <w:bottom w:val="single" w:color="6B8E5A" w:sz="4" w:space="2"/>
        </w:pBdr>
        <w:spacing w:after="80" w:before="200"/>
      </w:pPr>
      <w:r>
        <w:rPr>
          <w:rFonts w:ascii="Playfair Display" w:cs="Playfair Display" w:eastAsia="Playfair Display" w:hAnsi="Playfair Display"/>
          <w:b/>
          <w:bCs/>
          <w:color w:val="14233D"/>
          <w:sz w:val="23"/>
          <w:szCs w:val="23"/>
        </w:rPr>
        <w:t xml:space="preserve">Procedure Description</w:t>
      </w:r>
    </w:p>
    <w:p>
      <w:pPr>
        <w:spacing w:after="160" w:line="276"/>
      </w:pPr>
      <w:r>
        <w:rPr>
          <w:rFonts w:ascii="Montserrat" w:cs="Montserrat" w:eastAsia="Montserrat" w:hAnsi="Montserrat"/>
          <w:color w:val="222222"/>
          <w:sz w:val="21"/>
          <w:szCs w:val="21"/>
        </w:rPr>
        <w:t xml:space="preserve">Placement of multiple dental implants in an upper and/or lower jaw to support a fixed or removable full-arch prosthesis (bridge or implant-retained denture), often used to replace all remaining teeth in an arch. This treatment may involve removal of remaining teeth, bone recontouring or grafting, placement of multiple implants, and delivery of a temporary and, later, a final full-arch prosthesis over one or more appointments.</w:t>
      </w:r>
    </w:p>
    <w:p>
      <w:pPr>
        <w:pBdr>
          <w:bottom w:val="single" w:color="6B8E5A" w:sz="4" w:space="2"/>
        </w:pBdr>
        <w:spacing w:after="80" w:before="200"/>
      </w:pPr>
      <w:r>
        <w:rPr>
          <w:rFonts w:ascii="Playfair Display" w:cs="Playfair Display" w:eastAsia="Playfair Display" w:hAnsi="Playfair Display"/>
          <w:b/>
          <w:bCs/>
          <w:color w:val="14233D"/>
          <w:sz w:val="23"/>
          <w:szCs w:val="23"/>
        </w:rPr>
        <w:t xml:space="preserve">Benefits of Treatment</w:t>
      </w:r>
    </w:p>
    <w:p>
      <w:pPr>
        <w:pStyle w:val="ListParagraph"/>
        <w:numPr>
          <w:ilvl w:val="0"/>
          <w:numId w:val="1"/>
        </w:numPr>
        <w:spacing w:after="60" w:line="268"/>
      </w:pPr>
      <w:r>
        <w:rPr>
          <w:rFonts w:ascii="Montserrat" w:cs="Montserrat" w:eastAsia="Montserrat" w:hAnsi="Montserrat"/>
          <w:color w:val="222222"/>
          <w:sz w:val="21"/>
          <w:szCs w:val="21"/>
        </w:rPr>
        <w:t xml:space="preserve">Replaces an entire arch of missing or failing teeth with a fixed or implant-stabilized solution</w:t>
      </w:r>
    </w:p>
    <w:p>
      <w:pPr>
        <w:pStyle w:val="ListParagraph"/>
        <w:numPr>
          <w:ilvl w:val="0"/>
          <w:numId w:val="1"/>
        </w:numPr>
        <w:spacing w:after="60" w:line="268"/>
      </w:pPr>
      <w:r>
        <w:rPr>
          <w:rFonts w:ascii="Montserrat" w:cs="Montserrat" w:eastAsia="Montserrat" w:hAnsi="Montserrat"/>
          <w:color w:val="222222"/>
          <w:sz w:val="21"/>
          <w:szCs w:val="21"/>
        </w:rPr>
        <w:t xml:space="preserve">Improves chewing function, speech, and appearance compared to a conventional removable denture</w:t>
      </w:r>
    </w:p>
    <w:p>
      <w:pPr>
        <w:pStyle w:val="ListParagraph"/>
        <w:numPr>
          <w:ilvl w:val="0"/>
          <w:numId w:val="1"/>
        </w:numPr>
        <w:spacing w:after="60" w:line="268"/>
      </w:pPr>
      <w:r>
        <w:rPr>
          <w:rFonts w:ascii="Montserrat" w:cs="Montserrat" w:eastAsia="Montserrat" w:hAnsi="Montserrat"/>
          <w:color w:val="222222"/>
          <w:sz w:val="21"/>
          <w:szCs w:val="21"/>
        </w:rPr>
        <w:t xml:space="preserve">Helps preserve remaining jawbone</w:t>
      </w:r>
    </w:p>
    <w:p>
      <w:pPr>
        <w:pStyle w:val="ListParagraph"/>
        <w:numPr>
          <w:ilvl w:val="0"/>
          <w:numId w:val="1"/>
        </w:numPr>
        <w:spacing w:after="60" w:line="268"/>
      </w:pPr>
      <w:r>
        <w:rPr>
          <w:rFonts w:ascii="Montserrat" w:cs="Montserrat" w:eastAsia="Montserrat" w:hAnsi="Montserrat"/>
          <w:color w:val="222222"/>
          <w:sz w:val="21"/>
          <w:szCs w:val="21"/>
        </w:rPr>
        <w:t xml:space="preserve">May allow for same-day placement of a temporary prosthesis in select cases</w:t>
      </w:r>
    </w:p>
    <w:p>
      <w:pPr>
        <w:pBdr>
          <w:bottom w:val="single" w:color="6B8E5A" w:sz="4" w:space="2"/>
        </w:pBdr>
        <w:spacing w:after="80" w:before="200"/>
      </w:pPr>
      <w:r>
        <w:rPr>
          <w:rFonts w:ascii="Playfair Display" w:cs="Playfair Display" w:eastAsia="Playfair Display" w:hAnsi="Playfair Display"/>
          <w:b/>
          <w:bCs/>
          <w:color w:val="14233D"/>
          <w:sz w:val="23"/>
          <w:szCs w:val="23"/>
        </w:rPr>
        <w:t xml:space="preserve">Risks and Possible Complications</w:t>
      </w:r>
    </w:p>
    <w:p>
      <w:pPr>
        <w:pStyle w:val="ListParagraph"/>
        <w:numPr>
          <w:ilvl w:val="0"/>
          <w:numId w:val="1"/>
        </w:numPr>
        <w:spacing w:after="60" w:line="268"/>
      </w:pPr>
      <w:r>
        <w:rPr>
          <w:rFonts w:ascii="Montserrat" w:cs="Montserrat" w:eastAsia="Montserrat" w:hAnsi="Montserrat"/>
          <w:color w:val="222222"/>
          <w:sz w:val="21"/>
          <w:szCs w:val="21"/>
        </w:rPr>
        <w:t xml:space="preserve">All risks associated with tooth extraction and individual implant placement described above</w:t>
      </w:r>
    </w:p>
    <w:p>
      <w:pPr>
        <w:pStyle w:val="ListParagraph"/>
        <w:numPr>
          <w:ilvl w:val="0"/>
          <w:numId w:val="1"/>
        </w:numPr>
        <w:spacing w:after="60" w:line="268"/>
      </w:pPr>
      <w:r>
        <w:rPr>
          <w:rFonts w:ascii="Montserrat" w:cs="Montserrat" w:eastAsia="Montserrat" w:hAnsi="Montserrat"/>
          <w:color w:val="222222"/>
          <w:sz w:val="21"/>
          <w:szCs w:val="21"/>
        </w:rPr>
        <w:t xml:space="preserve">Pain, swelling, and bruising, which may be more significant given the extent of the procedure</w:t>
      </w:r>
    </w:p>
    <w:p>
      <w:pPr>
        <w:pStyle w:val="ListParagraph"/>
        <w:numPr>
          <w:ilvl w:val="0"/>
          <w:numId w:val="1"/>
        </w:numPr>
        <w:spacing w:after="60" w:line="268"/>
      </w:pPr>
      <w:r>
        <w:rPr>
          <w:rFonts w:ascii="Montserrat" w:cs="Montserrat" w:eastAsia="Montserrat" w:hAnsi="Montserrat"/>
          <w:color w:val="222222"/>
          <w:sz w:val="21"/>
          <w:szCs w:val="21"/>
        </w:rPr>
        <w:t xml:space="preserve">Implant failure or failure of one or more implants to integrate, which may still allow the prosthesis to function or may require additional surgery</w:t>
      </w:r>
    </w:p>
    <w:p>
      <w:pPr>
        <w:pStyle w:val="ListParagraph"/>
        <w:numPr>
          <w:ilvl w:val="0"/>
          <w:numId w:val="1"/>
        </w:numPr>
        <w:spacing w:after="60" w:line="268"/>
      </w:pPr>
      <w:r>
        <w:rPr>
          <w:rFonts w:ascii="Montserrat" w:cs="Montserrat" w:eastAsia="Montserrat" w:hAnsi="Montserrat"/>
          <w:color w:val="222222"/>
          <w:sz w:val="21"/>
          <w:szCs w:val="21"/>
        </w:rPr>
        <w:t xml:space="preserve">Need for bone grafting or sinus lift procedures to support implant placement</w:t>
      </w:r>
    </w:p>
    <w:p>
      <w:pPr>
        <w:pStyle w:val="ListParagraph"/>
        <w:numPr>
          <w:ilvl w:val="0"/>
          <w:numId w:val="1"/>
        </w:numPr>
        <w:spacing w:after="60" w:line="268"/>
      </w:pPr>
      <w:r>
        <w:rPr>
          <w:rFonts w:ascii="Montserrat" w:cs="Montserrat" w:eastAsia="Montserrat" w:hAnsi="Montserrat"/>
          <w:color w:val="222222"/>
          <w:sz w:val="21"/>
          <w:szCs w:val="21"/>
        </w:rPr>
        <w:t xml:space="preserve">Temporary or permanent numbness or altered sensation of the lip, tongue, cheek, or chin</w:t>
      </w:r>
    </w:p>
    <w:p>
      <w:pPr>
        <w:pStyle w:val="ListParagraph"/>
        <w:numPr>
          <w:ilvl w:val="0"/>
          <w:numId w:val="1"/>
        </w:numPr>
        <w:spacing w:after="60" w:line="268"/>
      </w:pPr>
      <w:r>
        <w:rPr>
          <w:rFonts w:ascii="Montserrat" w:cs="Montserrat" w:eastAsia="Montserrat" w:hAnsi="Montserrat"/>
          <w:color w:val="222222"/>
          <w:sz w:val="21"/>
          <w:szCs w:val="21"/>
        </w:rPr>
        <w:t xml:space="preserve">Prolonged healing time and dietary restrictions during the temporary prosthesis phase</w:t>
      </w:r>
    </w:p>
    <w:p>
      <w:pPr>
        <w:pStyle w:val="ListParagraph"/>
        <w:numPr>
          <w:ilvl w:val="0"/>
          <w:numId w:val="1"/>
        </w:numPr>
        <w:spacing w:after="60" w:line="268"/>
      </w:pPr>
      <w:r>
        <w:rPr>
          <w:rFonts w:ascii="Montserrat" w:cs="Montserrat" w:eastAsia="Montserrat" w:hAnsi="Montserrat"/>
          <w:color w:val="222222"/>
          <w:sz w:val="21"/>
          <w:szCs w:val="21"/>
        </w:rPr>
        <w:t xml:space="preserve">Fit, speech, or bite adjustments needed as swelling resolves and healing progresses</w:t>
      </w:r>
    </w:p>
    <w:p>
      <w:pPr>
        <w:pStyle w:val="ListParagraph"/>
        <w:numPr>
          <w:ilvl w:val="0"/>
          <w:numId w:val="1"/>
        </w:numPr>
        <w:spacing w:after="60" w:line="268"/>
      </w:pPr>
      <w:r>
        <w:rPr>
          <w:rFonts w:ascii="Montserrat" w:cs="Montserrat" w:eastAsia="Montserrat" w:hAnsi="Montserrat"/>
          <w:color w:val="222222"/>
          <w:sz w:val="21"/>
          <w:szCs w:val="21"/>
        </w:rPr>
        <w:t xml:space="preserve">Mechanical complications (fracture, loosening of screws, wear) of the temporary or final prosthesis over time</w:t>
      </w:r>
    </w:p>
    <w:p>
      <w:pPr>
        <w:pStyle w:val="ListParagraph"/>
        <w:numPr>
          <w:ilvl w:val="0"/>
          <w:numId w:val="1"/>
        </w:numPr>
        <w:spacing w:after="60" w:line="268"/>
      </w:pPr>
      <w:r>
        <w:rPr>
          <w:rFonts w:ascii="Montserrat" w:cs="Montserrat" w:eastAsia="Montserrat" w:hAnsi="Montserrat"/>
          <w:color w:val="222222"/>
          <w:sz w:val="21"/>
          <w:szCs w:val="21"/>
        </w:rPr>
        <w:t xml:space="preserve">Need for revision surgery, additional implants, or referral to a specialist if healing does not proceed as expected</w:t>
      </w:r>
    </w:p>
    <w:p>
      <w:pPr>
        <w:pStyle w:val="ListParagraph"/>
        <w:numPr>
          <w:ilvl w:val="0"/>
          <w:numId w:val="1"/>
        </w:numPr>
        <w:spacing w:after="60" w:line="268"/>
      </w:pPr>
      <w:r>
        <w:rPr>
          <w:rFonts w:ascii="Montserrat" w:cs="Montserrat" w:eastAsia="Montserrat" w:hAnsi="Montserrat"/>
          <w:color w:val="222222"/>
          <w:sz w:val="21"/>
          <w:szCs w:val="21"/>
        </w:rPr>
        <w:t xml:space="preserve">Extended overall treatment timeline, often several months between temporary and final prosthesis</w:t>
      </w:r>
    </w:p>
    <w:p>
      <w:pPr>
        <w:pBdr>
          <w:bottom w:val="single" w:color="6B8E5A" w:sz="4" w:space="2"/>
        </w:pBdr>
        <w:spacing w:after="80" w:before="200"/>
      </w:pPr>
      <w:r>
        <w:rPr>
          <w:rFonts w:ascii="Playfair Display" w:cs="Playfair Display" w:eastAsia="Playfair Display" w:hAnsi="Playfair Display"/>
          <w:b/>
          <w:bCs/>
          <w:color w:val="14233D"/>
          <w:sz w:val="23"/>
          <w:szCs w:val="23"/>
        </w:rPr>
        <w:t xml:space="preserve">Alternatives to Treatment</w:t>
      </w:r>
    </w:p>
    <w:p>
      <w:pPr>
        <w:pStyle w:val="ListParagraph"/>
        <w:numPr>
          <w:ilvl w:val="0"/>
          <w:numId w:val="1"/>
        </w:numPr>
        <w:spacing w:after="60" w:line="268"/>
      </w:pPr>
      <w:r>
        <w:rPr>
          <w:rFonts w:ascii="Montserrat" w:cs="Montserrat" w:eastAsia="Montserrat" w:hAnsi="Montserrat"/>
          <w:color w:val="222222"/>
          <w:sz w:val="21"/>
          <w:szCs w:val="21"/>
        </w:rPr>
        <w:t xml:space="preserve">Conventional removable complete or partial denture without implants</w:t>
      </w:r>
    </w:p>
    <w:p>
      <w:pPr>
        <w:pStyle w:val="ListParagraph"/>
        <w:numPr>
          <w:ilvl w:val="0"/>
          <w:numId w:val="1"/>
        </w:numPr>
        <w:spacing w:after="60" w:line="268"/>
      </w:pPr>
      <w:r>
        <w:rPr>
          <w:rFonts w:ascii="Montserrat" w:cs="Montserrat" w:eastAsia="Montserrat" w:hAnsi="Montserrat"/>
          <w:color w:val="222222"/>
          <w:sz w:val="21"/>
          <w:szCs w:val="21"/>
        </w:rPr>
        <w:t xml:space="preserve">Implant-retained (removable) overdenture using fewer implants</w:t>
      </w:r>
    </w:p>
    <w:p>
      <w:pPr>
        <w:pStyle w:val="ListParagraph"/>
        <w:numPr>
          <w:ilvl w:val="0"/>
          <w:numId w:val="1"/>
        </w:numPr>
        <w:spacing w:after="60" w:line="268"/>
      </w:pPr>
      <w:r>
        <w:rPr>
          <w:rFonts w:ascii="Montserrat" w:cs="Montserrat" w:eastAsia="Montserrat" w:hAnsi="Montserrat"/>
          <w:color w:val="222222"/>
          <w:sz w:val="21"/>
          <w:szCs w:val="21"/>
        </w:rPr>
        <w:t xml:space="preserve">Individual implants and crowns/bridges rather than a full-arch prosthesis, where feasible</w:t>
      </w:r>
    </w:p>
    <w:p>
      <w:pPr>
        <w:pStyle w:val="ListParagraph"/>
        <w:numPr>
          <w:ilvl w:val="0"/>
          <w:numId w:val="1"/>
        </w:numPr>
        <w:spacing w:after="60" w:line="268"/>
      </w:pPr>
      <w:r>
        <w:rPr>
          <w:rFonts w:ascii="Montserrat" w:cs="Montserrat" w:eastAsia="Montserrat" w:hAnsi="Montserrat"/>
          <w:color w:val="222222"/>
          <w:sz w:val="21"/>
          <w:szCs w:val="21"/>
        </w:rPr>
        <w:t xml:space="preserve">No replacement of missing or remaining teeth</w:t>
      </w:r>
    </w:p>
    <w:p>
      <w:pPr>
        <w:pStyle w:val="ListParagraph"/>
        <w:numPr>
          <w:ilvl w:val="0"/>
          <w:numId w:val="1"/>
        </w:numPr>
        <w:spacing w:after="60" w:line="268"/>
      </w:pPr>
      <w:r>
        <w:rPr>
          <w:rFonts w:ascii="Montserrat" w:cs="Montserrat" w:eastAsia="Montserrat" w:hAnsi="Montserrat"/>
          <w:color w:val="222222"/>
          <w:sz w:val="21"/>
          <w:szCs w:val="21"/>
        </w:rPr>
        <w:t xml:space="preserve">Referral to an oral surgeon or prosthodontist</w:t>
      </w:r>
    </w:p>
    <w:p>
      <w:pPr>
        <w:pBdr>
          <w:bottom w:val="single" w:color="6B8E5A" w:sz="4" w:space="2"/>
        </w:pBdr>
        <w:spacing w:after="80" w:before="200"/>
      </w:pPr>
      <w:r>
        <w:rPr>
          <w:rFonts w:ascii="Playfair Display" w:cs="Playfair Display" w:eastAsia="Playfair Display" w:hAnsi="Playfair Display"/>
          <w:b/>
          <w:bCs/>
          <w:color w:val="14233D"/>
          <w:sz w:val="23"/>
          <w:szCs w:val="23"/>
        </w:rPr>
        <w:t xml:space="preserve">Additional Information</w:t>
      </w:r>
    </w:p>
    <w:p>
      <w:pPr>
        <w:spacing w:after="160" w:line="276"/>
      </w:pPr>
      <w:r>
        <w:rPr>
          <w:rFonts w:ascii="Montserrat" w:cs="Montserrat" w:eastAsia="Montserrat" w:hAnsi="Montserrat"/>
          <w:color w:val="222222"/>
          <w:sz w:val="21"/>
          <w:szCs w:val="21"/>
        </w:rPr>
        <w:t xml:space="preserve">I understand that full arch implant treatment is typically completed in multiple phases (extraction/implant placement, healing, and delivery of the final prosthesis), that timelines vary by individual healing, and that a temporary prosthesis may need periodic adjustment or repair during the healing period.</w:t>
      </w:r>
    </w:p>
    <w:p>
      <w:pPr>
        <w:pBdr>
          <w:bottom w:val="single" w:color="6B8E5A" w:sz="4" w:space="2"/>
        </w:pBdr>
        <w:spacing w:after="80" w:before="200"/>
      </w:pPr>
      <w:r>
        <w:rPr>
          <w:rFonts w:ascii="Playfair Display" w:cs="Playfair Display" w:eastAsia="Playfair Display" w:hAnsi="Playfair Display"/>
          <w:b/>
          <w:bCs/>
          <w:color w:val="14233D"/>
          <w:sz w:val="23"/>
          <w:szCs w:val="23"/>
        </w:rPr>
        <w:t xml:space="preserve">Patient Acknowledgement and Consent</w:t>
      </w:r>
    </w:p>
    <w:p>
      <w:pPr>
        <w:spacing w:after="160" w:line="276"/>
      </w:pPr>
      <w:r>
        <w:rPr>
          <w:rFonts w:ascii="Montserrat" w:cs="Montserrat" w:eastAsia="Montserrat" w:hAnsi="Montserrat"/>
          <w:color w:val="222222"/>
          <w:sz w:val="21"/>
          <w:szCs w:val="21"/>
        </w:rPr>
        <w:t xml:space="preserve">I confirm that the treating dentist (or a member of the clinical team acting on the dentist's behalf) has explained the recommended treatment described above, including its expected benefits, the risks and possible complications, and the reasonable alternatives, including the alternative of no treatment. I have had the opportunity to ask questions about this treatment, and my questions have been answered to my satisfaction. I understand that dentistry is not an exact science and that no specific result or outcome has been guaranteed to me. I understand that unforeseen conditions may be discovered during treatment that require a change to the plan described here, and I authorize the treating dentist to make reasonable adjustments to the treatment plan as professional judgment requires. I understand I will receive care instructions related to this treatment and that it is my responsibility to follow them and to contact this office promptly with any questions or concerns. Having read and understood the above, I voluntarily consent to the treatment described in this form.</w:t>
      </w:r>
    </w:p>
    <w:p>
      <w:pPr>
        <w:tabs>
          <w:tab w:val="left" w:pos="9026"/>
        </w:tabs>
        <w:spacing w:after="120" w:before="120"/>
      </w:pPr>
      <w:r>
        <w:rPr>
          <w:rFonts w:ascii="Montserrat" w:cs="Montserrat" w:eastAsia="Montserrat" w:hAnsi="Montserrat"/>
          <w:b/>
          <w:bCs/>
          <w:color w:val="0D1729"/>
          <w:sz w:val="21"/>
          <w:szCs w:val="21"/>
        </w:rPr>
        <w:t xml:space="preserve">Patient Name (print):  </w:t>
      </w:r>
      <w:r>
        <w:rPr>
          <w:rFonts w:ascii="Montserrat" w:cs="Montserrat" w:eastAsia="Montserrat" w:hAnsi="Montserrat"/>
          <w:color w:val="222222"/>
          <w:sz w:val="21"/>
          <w:szCs w:val="21"/>
        </w:rPr>
        <w:t xml:space="preserve">_______________________________________________________</w:t>
      </w:r>
    </w:p>
    <w:p>
      <w:pPr>
        <w:spacing w:after="120" w:before="120"/>
      </w:pPr>
      <w:r>
        <w:rPr>
          <w:rFonts w:ascii="Montserrat" w:cs="Montserrat" w:eastAsia="Montserrat" w:hAnsi="Montserrat"/>
          <w:b/>
          <w:bCs/>
          <w:color w:val="0D1729"/>
          <w:sz w:val="21"/>
          <w:szCs w:val="21"/>
        </w:rPr>
        <w:t xml:space="preserve">Date of Birth:  </w:t>
      </w:r>
      <w:r>
        <w:rPr>
          <w:rFonts w:ascii="Montserrat" w:cs="Montserrat" w:eastAsia="Montserrat" w:hAnsi="Montserrat"/>
          <w:color w:val="222222"/>
          <w:sz w:val="21"/>
          <w:szCs w:val="21"/>
        </w:rPr>
        <w:t xml:space="preserve">____________________     </w:t>
      </w:r>
      <w:r>
        <w:rPr>
          <w:rFonts w:ascii="Montserrat" w:cs="Montserrat" w:eastAsia="Montserrat" w:hAnsi="Montserrat"/>
          <w:b/>
          <w:bCs/>
          <w:color w:val="0D1729"/>
          <w:sz w:val="21"/>
          <w:szCs w:val="21"/>
        </w:rPr>
        <w:t xml:space="preserve">Date:  </w:t>
      </w:r>
      <w:r>
        <w:rPr>
          <w:rFonts w:ascii="Montserrat" w:cs="Montserrat" w:eastAsia="Montserrat" w:hAnsi="Montserrat"/>
          <w:color w:val="222222"/>
          <w:sz w:val="21"/>
          <w:szCs w:val="21"/>
        </w:rPr>
        <w:t xml:space="preserve">____________________</w:t>
      </w:r>
    </w:p>
    <w:p>
      <w:pPr>
        <w:tabs>
          <w:tab w:val="left" w:pos="9026"/>
        </w:tabs>
        <w:spacing w:after="120" w:before="120"/>
      </w:pPr>
      <w:r>
        <w:rPr>
          <w:rFonts w:ascii="Montserrat" w:cs="Montserrat" w:eastAsia="Montserrat" w:hAnsi="Montserrat"/>
          <w:b/>
          <w:bCs/>
          <w:color w:val="0D1729"/>
          <w:sz w:val="21"/>
          <w:szCs w:val="21"/>
        </w:rPr>
        <w:t xml:space="preserve">Tooth #(s) / Treatment Area:  </w:t>
      </w:r>
      <w:r>
        <w:rPr>
          <w:rFonts w:ascii="Montserrat" w:cs="Montserrat" w:eastAsia="Montserrat" w:hAnsi="Montserrat"/>
          <w:color w:val="222222"/>
          <w:sz w:val="21"/>
          <w:szCs w:val="21"/>
        </w:rPr>
        <w:t xml:space="preserve">_____________________________________________</w:t>
      </w:r>
    </w:p>
    <w:p>
      <w:pPr>
        <w:spacing w:before="260"/>
      </w:pPr>
    </w:p>
    <w:p>
      <w:pPr>
        <w:tabs>
          <w:tab w:val="left" w:pos="9026"/>
        </w:tabs>
        <w:spacing w:after="120" w:before="120"/>
      </w:pPr>
      <w:r>
        <w:rPr>
          <w:rFonts w:ascii="Montserrat" w:cs="Montserrat" w:eastAsia="Montserrat" w:hAnsi="Montserrat"/>
          <w:b/>
          <w:bCs/>
          <w:color w:val="0D1729"/>
          <w:sz w:val="21"/>
          <w:szCs w:val="21"/>
        </w:rPr>
        <w:t xml:space="preserve">Patient (or Parent/Guardian) Signature:  </w:t>
      </w:r>
      <w:r>
        <w:rPr>
          <w:rFonts w:ascii="Montserrat" w:cs="Montserrat" w:eastAsia="Montserrat" w:hAnsi="Montserrat"/>
          <w:color w:val="222222"/>
          <w:sz w:val="21"/>
          <w:szCs w:val="21"/>
        </w:rPr>
        <w:t xml:space="preserve">_____________________________________________</w:t>
      </w:r>
    </w:p>
    <w:p>
      <w:pPr>
        <w:tabs>
          <w:tab w:val="left" w:pos="9026"/>
        </w:tabs>
        <w:spacing w:after="120" w:before="120"/>
      </w:pPr>
      <w:r>
        <w:rPr>
          <w:rFonts w:ascii="Montserrat" w:cs="Montserrat" w:eastAsia="Montserrat" w:hAnsi="Montserrat"/>
          <w:b/>
          <w:bCs/>
          <w:color w:val="0D1729"/>
          <w:sz w:val="21"/>
          <w:szCs w:val="21"/>
        </w:rPr>
        <w:t xml:space="preserve">Providing Dentist (print name):  </w:t>
      </w:r>
      <w:r>
        <w:rPr>
          <w:rFonts w:ascii="Montserrat" w:cs="Montserrat" w:eastAsia="Montserrat" w:hAnsi="Montserrat"/>
          <w:color w:val="222222"/>
          <w:sz w:val="21"/>
          <w:szCs w:val="21"/>
        </w:rPr>
        <w:t xml:space="preserve">_____________________________________________</w:t>
      </w:r>
    </w:p>
    <w:p>
      <w:pPr>
        <w:pBdr>
          <w:top w:val="single" w:color="6B8E5A" w:sz="4" w:space="4"/>
        </w:pBdr>
        <w:spacing w:before="300"/>
        <w:jc w:val="center"/>
      </w:pPr>
      <w:r>
        <w:rPr>
          <w:rFonts w:ascii="Montserrat" w:cs="Montserrat" w:eastAsia="Montserrat" w:hAnsi="Montserrat"/>
          <w:i/>
          <w:iCs/>
          <w:color w:val="B78A69"/>
          <w:sz w:val="15"/>
          <w:szCs w:val="15"/>
        </w:rPr>
        <w:t xml:space="preserve">Brandon Williams, DMD  •  Advanced Surgical &amp; Implant Care</w:t>
      </w:r>
    </w:p>
    <w:sectPr>
      <w:pgSz w:w="12240" w:h="15840" w:orient="portrait"/>
      <w:pgMar w:top="720" w:right="1080" w:bottom="720" w:left="108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Montserrat" w:cs="Montserrat" w:eastAsia="Montserrat" w:hAnsi="Montserrat"/>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14233D"/>
      <w:sz w:val="32"/>
      <w:szCs w:val="32"/>
    </w:rPr>
  </w:style>
  <w:style w:type="paragraph" w:styleId="Heading2">
    <w:name w:val="Heading 2"/>
    <w:basedOn w:val="Normal"/>
    <w:next w:val="Normal"/>
    <w:qFormat/>
    <w:rPr>
      <w:color w:val="14233D"/>
      <w:sz w:val="26"/>
      <w:szCs w:val="26"/>
    </w:rPr>
  </w:style>
  <w:style w:type="paragraph" w:styleId="Heading3">
    <w:name w:val="Heading 3"/>
    <w:basedOn w:val="Normal"/>
    <w:next w:val="Normal"/>
    <w:qFormat/>
    <w:rPr>
      <w:color w:val="0D1729"/>
      <w:sz w:val="24"/>
      <w:szCs w:val="24"/>
    </w:rPr>
  </w:style>
  <w:style w:type="paragraph" w:styleId="Heading4">
    <w:name w:val="Heading 4"/>
    <w:basedOn w:val="Normal"/>
    <w:next w:val="Normal"/>
    <w:qFormat/>
    <w:rPr>
      <w:i/>
      <w:iCs/>
      <w:color w:val="14233D"/>
    </w:rPr>
  </w:style>
  <w:style w:type="paragraph" w:styleId="Heading5">
    <w:name w:val="Heading 5"/>
    <w:basedOn w:val="Normal"/>
    <w:next w:val="Normal"/>
    <w:qFormat/>
    <w:rPr>
      <w:color w:val="14233D"/>
    </w:rPr>
  </w:style>
  <w:style w:type="paragraph" w:styleId="Heading6">
    <w:name w:val="Heading 6"/>
    <w:basedOn w:val="Normal"/>
    <w:next w:val="Normal"/>
    <w:qFormat/>
    <w:rPr>
      <w:color w:val="0D1729"/>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8A6A4A"/>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image" Target="media/0ada7bf3f83fa142b0be369d8039c0463a565997.jpg"/><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2026-07-05T16:39:53.552Z</dcterms:created>
  <dcterms:modified xsi:type="dcterms:W3CDTF">2026-07-05T16:39:53.552Z</dcterms:modified>
</cp:coreProperties>
</file>

<file path=docProps/custom.xml><?xml version="1.0" encoding="utf-8"?>
<Properties xmlns="http://schemas.openxmlformats.org/officeDocument/2006/custom-properties" xmlns:vt="http://schemas.openxmlformats.org/officeDocument/2006/docPropsVTypes"/>
</file>