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6195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19500" cy="1114425"/>
                    </a:xfrm>
                    <a:prstGeom prst="rect">
                      <a:avLst/>
                    </a:prstGeom>
                  </pic:spPr>
                </pic:pic>
              </a:graphicData>
            </a:graphic>
          </wp:inline>
        </w:drawing>
      </w:r>
    </w:p>
    <w:p>
      <w:pPr>
        <w:pBdr>
          <w:bottom w:val="single" w:color="C9D3D8" w:sz="6" w:space="1"/>
        </w:pBdr>
        <w:spacing w:after="200"/>
      </w:pPr>
    </w:p>
    <w:p>
      <w:pPr>
        <w:spacing w:after="40"/>
        <w:jc w:val="center"/>
      </w:pPr>
      <w:r>
        <w:rPr>
          <w:rFonts w:ascii="Playfair Display" w:cs="Playfair Display" w:eastAsia="Playfair Display" w:hAnsi="Playfair Display"/>
          <w:b/>
          <w:bCs/>
          <w:color w:val="0D1729"/>
          <w:sz w:val="30"/>
          <w:szCs w:val="30"/>
        </w:rPr>
        <w:t xml:space="preserve">GUM GRAFT (SOFT TISSUE GRAFTING)</w:t>
      </w:r>
    </w:p>
    <w:p>
      <w:pPr>
        <w:spacing w:after="240"/>
        <w:jc w:val="center"/>
      </w:pPr>
      <w:r>
        <w:rPr>
          <w:rFonts w:ascii="Playfair Display" w:cs="Playfair Display" w:eastAsia="Playfair Display" w:hAnsi="Playfair Display"/>
          <w:i/>
          <w:iCs/>
          <w:color w:val="B78A69"/>
          <w:sz w:val="20"/>
          <w:szCs w:val="20"/>
        </w:rPr>
        <w:t xml:space="preserve">Procedure-Specific Informed Consent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Procedure Description</w:t>
      </w:r>
    </w:p>
    <w:p>
      <w:pPr>
        <w:spacing w:after="160" w:line="276"/>
      </w:pPr>
      <w:r>
        <w:rPr>
          <w:rFonts w:ascii="Montserrat" w:cs="Montserrat" w:eastAsia="Montserrat" w:hAnsi="Montserrat"/>
          <w:color w:val="222222"/>
          <w:sz w:val="21"/>
          <w:szCs w:val="21"/>
        </w:rPr>
        <w:t xml:space="preserve">A procedure to add gum (soft tissue) to an area where the gumline has receded or where tissue is thin, using tissue taken from the roof of the patient's mouth, tissue taken from near the surgical site, or donor/allograft soft tissue material. The graft is secured over the area of recession or thin tissue to cover exposed root surface, increase the band of gum tissue, and/or improve the appearance and health of the gumline.</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Benefits of Treatment</w:t>
      </w:r>
    </w:p>
    <w:p>
      <w:pPr>
        <w:pStyle w:val="ListParagraph"/>
        <w:numPr>
          <w:ilvl w:val="0"/>
          <w:numId w:val="1"/>
        </w:numPr>
        <w:spacing w:after="60" w:line="268"/>
      </w:pPr>
      <w:r>
        <w:rPr>
          <w:rFonts w:ascii="Montserrat" w:cs="Montserrat" w:eastAsia="Montserrat" w:hAnsi="Montserrat"/>
          <w:color w:val="222222"/>
          <w:sz w:val="21"/>
          <w:szCs w:val="21"/>
        </w:rPr>
        <w:t xml:space="preserve">Can cover exposed tooth root surface caused by gum recession, reducing sensitivity</w:t>
      </w:r>
    </w:p>
    <w:p>
      <w:pPr>
        <w:pStyle w:val="ListParagraph"/>
        <w:numPr>
          <w:ilvl w:val="0"/>
          <w:numId w:val="1"/>
        </w:numPr>
        <w:spacing w:after="60" w:line="268"/>
      </w:pPr>
      <w:r>
        <w:rPr>
          <w:rFonts w:ascii="Montserrat" w:cs="Montserrat" w:eastAsia="Montserrat" w:hAnsi="Montserrat"/>
          <w:color w:val="222222"/>
          <w:sz w:val="21"/>
          <w:szCs w:val="21"/>
        </w:rPr>
        <w:t xml:space="preserve">Increases the width and thickness of gum tissue, which helps protect teeth and dental implants from further recession</w:t>
      </w:r>
    </w:p>
    <w:p>
      <w:pPr>
        <w:pStyle w:val="ListParagraph"/>
        <w:numPr>
          <w:ilvl w:val="0"/>
          <w:numId w:val="1"/>
        </w:numPr>
        <w:spacing w:after="60" w:line="268"/>
      </w:pPr>
      <w:r>
        <w:rPr>
          <w:rFonts w:ascii="Montserrat" w:cs="Montserrat" w:eastAsia="Montserrat" w:hAnsi="Montserrat"/>
          <w:color w:val="222222"/>
          <w:sz w:val="21"/>
          <w:szCs w:val="21"/>
        </w:rPr>
        <w:t xml:space="preserve">Improves the appearance of the gumline</w:t>
      </w:r>
    </w:p>
    <w:p>
      <w:pPr>
        <w:pStyle w:val="ListParagraph"/>
        <w:numPr>
          <w:ilvl w:val="0"/>
          <w:numId w:val="1"/>
        </w:numPr>
        <w:spacing w:after="60" w:line="268"/>
      </w:pPr>
      <w:r>
        <w:rPr>
          <w:rFonts w:ascii="Montserrat" w:cs="Montserrat" w:eastAsia="Montserrat" w:hAnsi="Montserrat"/>
          <w:color w:val="222222"/>
          <w:sz w:val="21"/>
          <w:szCs w:val="21"/>
        </w:rPr>
        <w:t xml:space="preserve">May help slow or prevent further recession in the treated area</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Risks and Possible Complications</w:t>
      </w:r>
    </w:p>
    <w:p>
      <w:pPr>
        <w:pStyle w:val="ListParagraph"/>
        <w:numPr>
          <w:ilvl w:val="0"/>
          <w:numId w:val="1"/>
        </w:numPr>
        <w:spacing w:after="60" w:line="268"/>
      </w:pPr>
      <w:r>
        <w:rPr>
          <w:rFonts w:ascii="Montserrat" w:cs="Montserrat" w:eastAsia="Montserrat" w:hAnsi="Montserrat"/>
          <w:color w:val="222222"/>
          <w:sz w:val="21"/>
          <w:szCs w:val="21"/>
        </w:rPr>
        <w:t xml:space="preserve">Pain, swelling, and bruising at the graft site and, if applicable, the donor site (roof of the mouth)</w:t>
      </w:r>
    </w:p>
    <w:p>
      <w:pPr>
        <w:pStyle w:val="ListParagraph"/>
        <w:numPr>
          <w:ilvl w:val="0"/>
          <w:numId w:val="1"/>
        </w:numPr>
        <w:spacing w:after="60" w:line="268"/>
      </w:pPr>
      <w:r>
        <w:rPr>
          <w:rFonts w:ascii="Montserrat" w:cs="Montserrat" w:eastAsia="Montserrat" w:hAnsi="Montserrat"/>
          <w:color w:val="222222"/>
          <w:sz w:val="21"/>
          <w:szCs w:val="21"/>
        </w:rPr>
        <w:t xml:space="preserve">Bleeding at the graft or donor site</w:t>
      </w:r>
    </w:p>
    <w:p>
      <w:pPr>
        <w:pStyle w:val="ListParagraph"/>
        <w:numPr>
          <w:ilvl w:val="0"/>
          <w:numId w:val="1"/>
        </w:numPr>
        <w:spacing w:after="60" w:line="268"/>
      </w:pPr>
      <w:r>
        <w:rPr>
          <w:rFonts w:ascii="Montserrat" w:cs="Montserrat" w:eastAsia="Montserrat" w:hAnsi="Montserrat"/>
          <w:color w:val="222222"/>
          <w:sz w:val="21"/>
          <w:szCs w:val="21"/>
        </w:rPr>
        <w:t xml:space="preserve">Partial or complete failure of the graft to attach ("take"), requiring repeat grafting</w:t>
      </w:r>
    </w:p>
    <w:p>
      <w:pPr>
        <w:pStyle w:val="ListParagraph"/>
        <w:numPr>
          <w:ilvl w:val="0"/>
          <w:numId w:val="1"/>
        </w:numPr>
        <w:spacing w:after="60" w:line="268"/>
      </w:pPr>
      <w:r>
        <w:rPr>
          <w:rFonts w:ascii="Montserrat" w:cs="Montserrat" w:eastAsia="Montserrat" w:hAnsi="Montserrat"/>
          <w:color w:val="222222"/>
          <w:sz w:val="21"/>
          <w:szCs w:val="21"/>
        </w:rPr>
        <w:t xml:space="preserve">Incomplete root coverage; some root surface may remain exposed even with a successful graft</w:t>
      </w:r>
    </w:p>
    <w:p>
      <w:pPr>
        <w:pStyle w:val="ListParagraph"/>
        <w:numPr>
          <w:ilvl w:val="0"/>
          <w:numId w:val="1"/>
        </w:numPr>
        <w:spacing w:after="60" w:line="268"/>
      </w:pPr>
      <w:r>
        <w:rPr>
          <w:rFonts w:ascii="Montserrat" w:cs="Montserrat" w:eastAsia="Montserrat" w:hAnsi="Montserrat"/>
          <w:color w:val="222222"/>
          <w:sz w:val="21"/>
          <w:szCs w:val="21"/>
        </w:rPr>
        <w:t xml:space="preserve">Color or texture mismatch between the grafted tissue and surrounding gum</w:t>
      </w:r>
    </w:p>
    <w:p>
      <w:pPr>
        <w:pStyle w:val="ListParagraph"/>
        <w:numPr>
          <w:ilvl w:val="0"/>
          <w:numId w:val="1"/>
        </w:numPr>
        <w:spacing w:after="60" w:line="268"/>
      </w:pPr>
      <w:r>
        <w:rPr>
          <w:rFonts w:ascii="Montserrat" w:cs="Montserrat" w:eastAsia="Montserrat" w:hAnsi="Montserrat"/>
          <w:color w:val="222222"/>
          <w:sz w:val="21"/>
          <w:szCs w:val="21"/>
        </w:rPr>
        <w:t xml:space="preserve">Numbness or altered sensation at the donor or graft site, usually temporary</w:t>
      </w:r>
    </w:p>
    <w:p>
      <w:pPr>
        <w:pStyle w:val="ListParagraph"/>
        <w:numPr>
          <w:ilvl w:val="0"/>
          <w:numId w:val="1"/>
        </w:numPr>
        <w:spacing w:after="60" w:line="268"/>
      </w:pPr>
      <w:r>
        <w:rPr>
          <w:rFonts w:ascii="Montserrat" w:cs="Montserrat" w:eastAsia="Montserrat" w:hAnsi="Montserrat"/>
          <w:color w:val="222222"/>
          <w:sz w:val="21"/>
          <w:szCs w:val="21"/>
        </w:rPr>
        <w:t xml:space="preserve">Continued or new recession at the site or at adjacent teeth over time, particularly without correction of contributing habits (aggressive brushing, grinding) or anatomy (thin bone, muscle pull)</w:t>
      </w:r>
    </w:p>
    <w:p>
      <w:pPr>
        <w:pStyle w:val="ListParagraph"/>
        <w:numPr>
          <w:ilvl w:val="0"/>
          <w:numId w:val="1"/>
        </w:numPr>
        <w:spacing w:after="60" w:line="268"/>
      </w:pPr>
      <w:r>
        <w:rPr>
          <w:rFonts w:ascii="Montserrat" w:cs="Montserrat" w:eastAsia="Montserrat" w:hAnsi="Montserrat"/>
          <w:color w:val="222222"/>
          <w:sz w:val="21"/>
          <w:szCs w:val="21"/>
        </w:rPr>
        <w:t xml:space="preserve">Discomfort while eating or speaking during the initial healing period</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Alternatives to Treatment</w:t>
      </w:r>
    </w:p>
    <w:p>
      <w:pPr>
        <w:pStyle w:val="ListParagraph"/>
        <w:numPr>
          <w:ilvl w:val="0"/>
          <w:numId w:val="1"/>
        </w:numPr>
        <w:spacing w:after="60" w:line="268"/>
      </w:pPr>
      <w:r>
        <w:rPr>
          <w:rFonts w:ascii="Montserrat" w:cs="Montserrat" w:eastAsia="Montserrat" w:hAnsi="Montserrat"/>
          <w:color w:val="222222"/>
          <w:sz w:val="21"/>
          <w:szCs w:val="21"/>
        </w:rPr>
        <w:t xml:space="preserve">Non-surgical management (desensitizing agents, restorative covering of the root surface) without grafting</w:t>
      </w:r>
    </w:p>
    <w:p>
      <w:pPr>
        <w:pStyle w:val="ListParagraph"/>
        <w:numPr>
          <w:ilvl w:val="0"/>
          <w:numId w:val="1"/>
        </w:numPr>
        <w:spacing w:after="60" w:line="268"/>
      </w:pPr>
      <w:r>
        <w:rPr>
          <w:rFonts w:ascii="Montserrat" w:cs="Montserrat" w:eastAsia="Montserrat" w:hAnsi="Montserrat"/>
          <w:color w:val="222222"/>
          <w:sz w:val="21"/>
          <w:szCs w:val="21"/>
        </w:rPr>
        <w:t xml:space="preserve">Use of a different graft material (patient's own tissue vs. donor/allograft tissue)</w:t>
      </w:r>
    </w:p>
    <w:p>
      <w:pPr>
        <w:pStyle w:val="ListParagraph"/>
        <w:numPr>
          <w:ilvl w:val="0"/>
          <w:numId w:val="1"/>
        </w:numPr>
        <w:spacing w:after="60" w:line="268"/>
      </w:pPr>
      <w:r>
        <w:rPr>
          <w:rFonts w:ascii="Montserrat" w:cs="Montserrat" w:eastAsia="Montserrat" w:hAnsi="Montserrat"/>
          <w:color w:val="222222"/>
          <w:sz w:val="21"/>
          <w:szCs w:val="21"/>
        </w:rPr>
        <w:t xml:space="preserve">No treatment, with the understanding that recession and root exposure may progress</w:t>
      </w:r>
    </w:p>
    <w:p>
      <w:pPr>
        <w:pStyle w:val="ListParagraph"/>
        <w:numPr>
          <w:ilvl w:val="0"/>
          <w:numId w:val="1"/>
        </w:numPr>
        <w:spacing w:after="60" w:line="268"/>
      </w:pPr>
      <w:r>
        <w:rPr>
          <w:rFonts w:ascii="Montserrat" w:cs="Montserrat" w:eastAsia="Montserrat" w:hAnsi="Montserrat"/>
          <w:color w:val="222222"/>
          <w:sz w:val="21"/>
          <w:szCs w:val="21"/>
        </w:rPr>
        <w:t xml:space="preserve">Referral to a periodontist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Patient Acknowledgement and Consent</w:t>
      </w:r>
    </w:p>
    <w:p>
      <w:pPr>
        <w:spacing w:after="160" w:line="276"/>
      </w:pPr>
      <w:r>
        <w:rPr>
          <w:rFonts w:ascii="Montserrat" w:cs="Montserrat" w:eastAsia="Montserrat" w:hAnsi="Montserrat"/>
          <w:color w:val="222222"/>
          <w:sz w:val="21"/>
          <w:szCs w:val="21"/>
        </w:rPr>
        <w:t xml:space="preserve">I confirm that the treating dentist (or a member of the clinical team acting on the dentist's behalf) has explained the recommended treatment described above, including its expected benefits, the risks and possible complications, and the reasonable alternatives, including the alternative of no treatment. I have had the opportunity to ask questions about this treatment, and my questions have been answered to my satisfaction. I understand that dentistry is not an exact science and that no specific result or outcome has been guaranteed to me. I understand that unforeseen conditions may be discovered during treatment that require a change to the plan described here, and I authorize the treating dentist to make reasonable adjustments to the treatment plan as professional judgment requires. I understand I will receive care instructions related to this treatment and that it is my responsibility to follow them and to contact this office promptly with any questions or concerns. Having read and understood the above, I voluntarily consent to the treatment described in this form.</w:t>
      </w:r>
    </w:p>
    <w:p>
      <w:pPr>
        <w:tabs>
          <w:tab w:val="left" w:pos="9026"/>
        </w:tabs>
        <w:spacing w:after="120" w:before="120"/>
      </w:pPr>
      <w:r>
        <w:rPr>
          <w:rFonts w:ascii="Montserrat" w:cs="Montserrat" w:eastAsia="Montserrat" w:hAnsi="Montserrat"/>
          <w:b/>
          <w:bCs/>
          <w:color w:val="0D1729"/>
          <w:sz w:val="21"/>
          <w:szCs w:val="21"/>
        </w:rPr>
        <w:t xml:space="preserve">Patient Name (print):  </w:t>
      </w:r>
      <w:r>
        <w:rPr>
          <w:rFonts w:ascii="Montserrat" w:cs="Montserrat" w:eastAsia="Montserrat" w:hAnsi="Montserrat"/>
          <w:color w:val="222222"/>
          <w:sz w:val="21"/>
          <w:szCs w:val="21"/>
        </w:rPr>
        <w:t xml:space="preserve">_______________________________________________________</w:t>
      </w:r>
    </w:p>
    <w:p>
      <w:pPr>
        <w:spacing w:after="120" w:before="120"/>
      </w:pPr>
      <w:r>
        <w:rPr>
          <w:rFonts w:ascii="Montserrat" w:cs="Montserrat" w:eastAsia="Montserrat" w:hAnsi="Montserrat"/>
          <w:b/>
          <w:bCs/>
          <w:color w:val="0D1729"/>
          <w:sz w:val="21"/>
          <w:szCs w:val="21"/>
        </w:rPr>
        <w:t xml:space="preserve">Date of Birth:  </w:t>
      </w:r>
      <w:r>
        <w:rPr>
          <w:rFonts w:ascii="Montserrat" w:cs="Montserrat" w:eastAsia="Montserrat" w:hAnsi="Montserrat"/>
          <w:color w:val="222222"/>
          <w:sz w:val="21"/>
          <w:szCs w:val="21"/>
        </w:rPr>
        <w:t xml:space="preserve">____________________     </w:t>
      </w:r>
      <w:r>
        <w:rPr>
          <w:rFonts w:ascii="Montserrat" w:cs="Montserrat" w:eastAsia="Montserrat" w:hAnsi="Montserrat"/>
          <w:b/>
          <w:bCs/>
          <w:color w:val="0D1729"/>
          <w:sz w:val="21"/>
          <w:szCs w:val="21"/>
        </w:rPr>
        <w:t xml:space="preserve">Date:  </w:t>
      </w:r>
      <w:r>
        <w:rPr>
          <w:rFonts w:ascii="Montserrat" w:cs="Montserrat" w:eastAsia="Montserrat" w:hAnsi="Montserrat"/>
          <w:color w:val="222222"/>
          <w:sz w:val="21"/>
          <w:szCs w:val="21"/>
        </w:rPr>
        <w:t xml:space="preserve">____________________</w:t>
      </w:r>
    </w:p>
    <w:p>
      <w:pPr>
        <w:tabs>
          <w:tab w:val="left" w:pos="9026"/>
        </w:tabs>
        <w:spacing w:after="120" w:before="120"/>
      </w:pPr>
      <w:r>
        <w:rPr>
          <w:rFonts w:ascii="Montserrat" w:cs="Montserrat" w:eastAsia="Montserrat" w:hAnsi="Montserrat"/>
          <w:b/>
          <w:bCs/>
          <w:color w:val="0D1729"/>
          <w:sz w:val="21"/>
          <w:szCs w:val="21"/>
        </w:rPr>
        <w:t xml:space="preserve">Tooth #(s) / Treatment Area:  </w:t>
      </w:r>
      <w:r>
        <w:rPr>
          <w:rFonts w:ascii="Montserrat" w:cs="Montserrat" w:eastAsia="Montserrat" w:hAnsi="Montserrat"/>
          <w:color w:val="222222"/>
          <w:sz w:val="21"/>
          <w:szCs w:val="21"/>
        </w:rPr>
        <w:t xml:space="preserve">_____________________________________________</w:t>
      </w:r>
    </w:p>
    <w:p>
      <w:pPr>
        <w:spacing w:before="260"/>
      </w:pPr>
    </w:p>
    <w:p>
      <w:pPr>
        <w:tabs>
          <w:tab w:val="left" w:pos="9026"/>
        </w:tabs>
        <w:spacing w:after="120" w:before="120"/>
      </w:pPr>
      <w:r>
        <w:rPr>
          <w:rFonts w:ascii="Montserrat" w:cs="Montserrat" w:eastAsia="Montserrat" w:hAnsi="Montserrat"/>
          <w:b/>
          <w:bCs/>
          <w:color w:val="0D1729"/>
          <w:sz w:val="21"/>
          <w:szCs w:val="21"/>
        </w:rPr>
        <w:t xml:space="preserve">Patient (or Parent/Guardian) Signature:  </w:t>
      </w:r>
      <w:r>
        <w:rPr>
          <w:rFonts w:ascii="Montserrat" w:cs="Montserrat" w:eastAsia="Montserrat" w:hAnsi="Montserrat"/>
          <w:color w:val="222222"/>
          <w:sz w:val="21"/>
          <w:szCs w:val="21"/>
        </w:rPr>
        <w:t xml:space="preserve">_____________________________________________</w:t>
      </w:r>
    </w:p>
    <w:p>
      <w:pPr>
        <w:tabs>
          <w:tab w:val="left" w:pos="9026"/>
        </w:tabs>
        <w:spacing w:after="120" w:before="120"/>
      </w:pPr>
      <w:r>
        <w:rPr>
          <w:rFonts w:ascii="Montserrat" w:cs="Montserrat" w:eastAsia="Montserrat" w:hAnsi="Montserrat"/>
          <w:b/>
          <w:bCs/>
          <w:color w:val="0D1729"/>
          <w:sz w:val="21"/>
          <w:szCs w:val="21"/>
        </w:rPr>
        <w:t xml:space="preserve">Providing Dentist (print name):  </w:t>
      </w:r>
      <w:r>
        <w:rPr>
          <w:rFonts w:ascii="Montserrat" w:cs="Montserrat" w:eastAsia="Montserrat" w:hAnsi="Montserrat"/>
          <w:color w:val="222222"/>
          <w:sz w:val="21"/>
          <w:szCs w:val="21"/>
        </w:rPr>
        <w:t xml:space="preserve">_____________________________________________</w:t>
      </w:r>
    </w:p>
    <w:p>
      <w:pPr>
        <w:pBdr>
          <w:top w:val="single" w:color="6B8E5A" w:sz="4" w:space="4"/>
        </w:pBdr>
        <w:spacing w:before="300"/>
        <w:jc w:val="center"/>
      </w:pPr>
      <w:r>
        <w:rPr>
          <w:rFonts w:ascii="Montserrat" w:cs="Montserrat" w:eastAsia="Montserrat" w:hAnsi="Montserrat"/>
          <w:i/>
          <w:iCs/>
          <w:color w:val="B78A69"/>
          <w:sz w:val="15"/>
          <w:szCs w:val="15"/>
        </w:rPr>
        <w:t xml:space="preserve">Brandon Williams, DMD  •  Advanced Surgical &amp; Implant Care</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14233D"/>
      <w:sz w:val="32"/>
      <w:szCs w:val="32"/>
    </w:rPr>
  </w:style>
  <w:style w:type="paragraph" w:styleId="Heading2">
    <w:name w:val="Heading 2"/>
    <w:basedOn w:val="Normal"/>
    <w:next w:val="Normal"/>
    <w:qFormat/>
    <w:rPr>
      <w:color w:val="14233D"/>
      <w:sz w:val="26"/>
      <w:szCs w:val="26"/>
    </w:rPr>
  </w:style>
  <w:style w:type="paragraph" w:styleId="Heading3">
    <w:name w:val="Heading 3"/>
    <w:basedOn w:val="Normal"/>
    <w:next w:val="Normal"/>
    <w:qFormat/>
    <w:rPr>
      <w:color w:val="0D1729"/>
      <w:sz w:val="24"/>
      <w:szCs w:val="24"/>
    </w:rPr>
  </w:style>
  <w:style w:type="paragraph" w:styleId="Heading4">
    <w:name w:val="Heading 4"/>
    <w:basedOn w:val="Normal"/>
    <w:next w:val="Normal"/>
    <w:qFormat/>
    <w:rPr>
      <w:i/>
      <w:iCs/>
      <w:color w:val="14233D"/>
    </w:rPr>
  </w:style>
  <w:style w:type="paragraph" w:styleId="Heading5">
    <w:name w:val="Heading 5"/>
    <w:basedOn w:val="Normal"/>
    <w:next w:val="Normal"/>
    <w:qFormat/>
    <w:rPr>
      <w:color w:val="14233D"/>
    </w:rPr>
  </w:style>
  <w:style w:type="paragraph" w:styleId="Heading6">
    <w:name w:val="Heading 6"/>
    <w:basedOn w:val="Normal"/>
    <w:next w:val="Normal"/>
    <w:qFormat/>
    <w:rPr>
      <w:color w:val="0D1729"/>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8A6A4A"/>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da7bf3f83fa142b0be369d8039c0463a56599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2026-07-05T16:39:54.048Z</dcterms:created>
  <dcterms:modified xsi:type="dcterms:W3CDTF">2026-07-05T16:39:54.048Z</dcterms:modified>
</cp:coreProperties>
</file>

<file path=docProps/custom.xml><?xml version="1.0" encoding="utf-8"?>
<Properties xmlns="http://schemas.openxmlformats.org/officeDocument/2006/custom-properties" xmlns:vt="http://schemas.openxmlformats.org/officeDocument/2006/docPropsVTypes"/>
</file>