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619500" cy="111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19500" cy="1114425"/>
                    </a:xfrm>
                    <a:prstGeom prst="rect">
                      <a:avLst/>
                    </a:prstGeom>
                  </pic:spPr>
                </pic:pic>
              </a:graphicData>
            </a:graphic>
          </wp:inline>
        </w:drawing>
      </w:r>
    </w:p>
    <w:p>
      <w:pPr>
        <w:pBdr>
          <w:bottom w:val="single" w:color="C9D3D8" w:sz="6" w:space="1"/>
        </w:pBdr>
        <w:spacing w:after="200"/>
      </w:pPr>
    </w:p>
    <w:p>
      <w:pPr>
        <w:spacing w:after="40"/>
        <w:jc w:val="center"/>
      </w:pPr>
      <w:r>
        <w:rPr>
          <w:rFonts w:ascii="Playfair Display" w:cs="Playfair Display" w:eastAsia="Playfair Display" w:hAnsi="Playfair Display"/>
          <w:b/>
          <w:bCs/>
          <w:color w:val="0D1729"/>
          <w:sz w:val="30"/>
          <w:szCs w:val="30"/>
        </w:rPr>
        <w:t xml:space="preserve">DENTAL IMPLANT PLACEMENT</w:t>
      </w:r>
    </w:p>
    <w:p>
      <w:pPr>
        <w:spacing w:after="240"/>
        <w:jc w:val="center"/>
      </w:pPr>
      <w:r>
        <w:rPr>
          <w:rFonts w:ascii="Playfair Display" w:cs="Playfair Display" w:eastAsia="Playfair Display" w:hAnsi="Playfair Display"/>
          <w:i/>
          <w:iCs/>
          <w:color w:val="B78A69"/>
          <w:sz w:val="20"/>
          <w:szCs w:val="20"/>
        </w:rPr>
        <w:t xml:space="preserve">Procedure-Specific Informed Consent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Procedure Description</w:t>
      </w:r>
    </w:p>
    <w:p>
      <w:pPr>
        <w:spacing w:after="160" w:line="276"/>
      </w:pPr>
      <w:r>
        <w:rPr>
          <w:rFonts w:ascii="Montserrat" w:cs="Montserrat" w:eastAsia="Montserrat" w:hAnsi="Montserrat"/>
          <w:color w:val="222222"/>
          <w:sz w:val="21"/>
          <w:szCs w:val="21"/>
        </w:rPr>
        <w:t xml:space="preserve">Surgical placement of one or more titanium (or titanium-alloy/zirconia) implant posts into the jawbone to serve as an artificial tooth root, which will later support a crown, bridge, or denture. This procedure may be performed in one or more stages and may be combined with bone grafting or other procedures where indicated.</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Benefits of Treatment</w:t>
      </w:r>
    </w:p>
    <w:p>
      <w:pPr>
        <w:pStyle w:val="ListParagraph"/>
        <w:numPr>
          <w:ilvl w:val="0"/>
          <w:numId w:val="1"/>
        </w:numPr>
        <w:spacing w:after="60" w:line="268"/>
      </w:pPr>
      <w:r>
        <w:rPr>
          <w:rFonts w:ascii="Montserrat" w:cs="Montserrat" w:eastAsia="Montserrat" w:hAnsi="Montserrat"/>
          <w:color w:val="222222"/>
          <w:sz w:val="21"/>
          <w:szCs w:val="21"/>
        </w:rPr>
        <w:t xml:space="preserve">Provides a stable, permanent-style replacement for one or more missing teeth</w:t>
      </w:r>
    </w:p>
    <w:p>
      <w:pPr>
        <w:pStyle w:val="ListParagraph"/>
        <w:numPr>
          <w:ilvl w:val="0"/>
          <w:numId w:val="1"/>
        </w:numPr>
        <w:spacing w:after="60" w:line="268"/>
      </w:pPr>
      <w:r>
        <w:rPr>
          <w:rFonts w:ascii="Montserrat" w:cs="Montserrat" w:eastAsia="Montserrat" w:hAnsi="Montserrat"/>
          <w:color w:val="222222"/>
          <w:sz w:val="21"/>
          <w:szCs w:val="21"/>
        </w:rPr>
        <w:t xml:space="preserve">Helps preserve jawbone that would otherwise resorb after tooth loss</w:t>
      </w:r>
    </w:p>
    <w:p>
      <w:pPr>
        <w:pStyle w:val="ListParagraph"/>
        <w:numPr>
          <w:ilvl w:val="0"/>
          <w:numId w:val="1"/>
        </w:numPr>
        <w:spacing w:after="60" w:line="268"/>
      </w:pPr>
      <w:r>
        <w:rPr>
          <w:rFonts w:ascii="Montserrat" w:cs="Montserrat" w:eastAsia="Montserrat" w:hAnsi="Montserrat"/>
          <w:color w:val="222222"/>
          <w:sz w:val="21"/>
          <w:szCs w:val="21"/>
        </w:rPr>
        <w:t xml:space="preserve">Does not require alteration or preparation of adjacent healthy teeth (unlike a bridge)</w:t>
      </w:r>
    </w:p>
    <w:p>
      <w:pPr>
        <w:pStyle w:val="ListParagraph"/>
        <w:numPr>
          <w:ilvl w:val="0"/>
          <w:numId w:val="1"/>
        </w:numPr>
        <w:spacing w:after="60" w:line="268"/>
      </w:pPr>
      <w:r>
        <w:rPr>
          <w:rFonts w:ascii="Montserrat" w:cs="Montserrat" w:eastAsia="Montserrat" w:hAnsi="Montserrat"/>
          <w:color w:val="222222"/>
          <w:sz w:val="21"/>
          <w:szCs w:val="21"/>
        </w:rPr>
        <w:t xml:space="preserve">Restores chewing function and appearance</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Risks and Possible Complications</w:t>
      </w:r>
    </w:p>
    <w:p>
      <w:pPr>
        <w:pStyle w:val="ListParagraph"/>
        <w:numPr>
          <w:ilvl w:val="0"/>
          <w:numId w:val="1"/>
        </w:numPr>
        <w:spacing w:after="60" w:line="268"/>
      </w:pPr>
      <w:r>
        <w:rPr>
          <w:rFonts w:ascii="Montserrat" w:cs="Montserrat" w:eastAsia="Montserrat" w:hAnsi="Montserrat"/>
          <w:color w:val="222222"/>
          <w:sz w:val="21"/>
          <w:szCs w:val="21"/>
        </w:rPr>
        <w:t xml:space="preserve">Pain, swelling, and bruising following surgery</w:t>
      </w:r>
    </w:p>
    <w:p>
      <w:pPr>
        <w:pStyle w:val="ListParagraph"/>
        <w:numPr>
          <w:ilvl w:val="0"/>
          <w:numId w:val="1"/>
        </w:numPr>
        <w:spacing w:after="60" w:line="268"/>
      </w:pPr>
      <w:r>
        <w:rPr>
          <w:rFonts w:ascii="Montserrat" w:cs="Montserrat" w:eastAsia="Montserrat" w:hAnsi="Montserrat"/>
          <w:color w:val="222222"/>
          <w:sz w:val="21"/>
          <w:szCs w:val="21"/>
        </w:rPr>
        <w:t xml:space="preserve">Bleeding or infection at the surgical site</w:t>
      </w:r>
    </w:p>
    <w:p>
      <w:pPr>
        <w:pStyle w:val="ListParagraph"/>
        <w:numPr>
          <w:ilvl w:val="0"/>
          <w:numId w:val="1"/>
        </w:numPr>
        <w:spacing w:after="60" w:line="268"/>
      </w:pPr>
      <w:r>
        <w:rPr>
          <w:rFonts w:ascii="Montserrat" w:cs="Montserrat" w:eastAsia="Montserrat" w:hAnsi="Montserrat"/>
          <w:color w:val="222222"/>
          <w:sz w:val="21"/>
          <w:szCs w:val="21"/>
        </w:rPr>
        <w:t xml:space="preserve">Implant failure or failure to properly integrate (fuse) with the bone, requiring removal and possible re-treatment</w:t>
      </w:r>
    </w:p>
    <w:p>
      <w:pPr>
        <w:pStyle w:val="ListParagraph"/>
        <w:numPr>
          <w:ilvl w:val="0"/>
          <w:numId w:val="1"/>
        </w:numPr>
        <w:spacing w:after="60" w:line="268"/>
      </w:pPr>
      <w:r>
        <w:rPr>
          <w:rFonts w:ascii="Montserrat" w:cs="Montserrat" w:eastAsia="Montserrat" w:hAnsi="Montserrat"/>
          <w:color w:val="222222"/>
          <w:sz w:val="21"/>
          <w:szCs w:val="21"/>
        </w:rPr>
        <w:t xml:space="preserve">Damage to adjacent teeth, roots, or nerves</w:t>
      </w:r>
    </w:p>
    <w:p>
      <w:pPr>
        <w:pStyle w:val="ListParagraph"/>
        <w:numPr>
          <w:ilvl w:val="0"/>
          <w:numId w:val="1"/>
        </w:numPr>
        <w:spacing w:after="60" w:line="268"/>
      </w:pPr>
      <w:r>
        <w:rPr>
          <w:rFonts w:ascii="Montserrat" w:cs="Montserrat" w:eastAsia="Montserrat" w:hAnsi="Montserrat"/>
          <w:color w:val="222222"/>
          <w:sz w:val="21"/>
          <w:szCs w:val="21"/>
        </w:rPr>
        <w:t xml:space="preserve">Temporary or, rarely, permanent numbness or altered sensation of the lip, tongue, cheek, or chin</w:t>
      </w:r>
    </w:p>
    <w:p>
      <w:pPr>
        <w:pStyle w:val="ListParagraph"/>
        <w:numPr>
          <w:ilvl w:val="0"/>
          <w:numId w:val="1"/>
        </w:numPr>
        <w:spacing w:after="60" w:line="268"/>
      </w:pPr>
      <w:r>
        <w:rPr>
          <w:rFonts w:ascii="Montserrat" w:cs="Montserrat" w:eastAsia="Montserrat" w:hAnsi="Montserrat"/>
          <w:color w:val="222222"/>
          <w:sz w:val="21"/>
          <w:szCs w:val="21"/>
        </w:rPr>
        <w:t xml:space="preserve">Sinus perforation or involvement (upper jaw implants)</w:t>
      </w:r>
    </w:p>
    <w:p>
      <w:pPr>
        <w:pStyle w:val="ListParagraph"/>
        <w:numPr>
          <w:ilvl w:val="0"/>
          <w:numId w:val="1"/>
        </w:numPr>
        <w:spacing w:after="60" w:line="268"/>
      </w:pPr>
      <w:r>
        <w:rPr>
          <w:rFonts w:ascii="Montserrat" w:cs="Montserrat" w:eastAsia="Montserrat" w:hAnsi="Montserrat"/>
          <w:color w:val="222222"/>
          <w:sz w:val="21"/>
          <w:szCs w:val="21"/>
        </w:rPr>
        <w:t xml:space="preserve">Insufficient bone quality or quantity discovered during surgery, requiring a change in plan, additional grafting, or a different implant size/position than originally planned</w:t>
      </w:r>
    </w:p>
    <w:p>
      <w:pPr>
        <w:pStyle w:val="ListParagraph"/>
        <w:numPr>
          <w:ilvl w:val="0"/>
          <w:numId w:val="1"/>
        </w:numPr>
        <w:spacing w:after="60" w:line="268"/>
      </w:pPr>
      <w:r>
        <w:rPr>
          <w:rFonts w:ascii="Montserrat" w:cs="Montserrat" w:eastAsia="Montserrat" w:hAnsi="Montserrat"/>
          <w:color w:val="222222"/>
          <w:sz w:val="21"/>
          <w:szCs w:val="21"/>
        </w:rPr>
        <w:t xml:space="preserve">Exposure of implant threads or need for additional bone or gum grafting</w:t>
      </w:r>
    </w:p>
    <w:p>
      <w:pPr>
        <w:pStyle w:val="ListParagraph"/>
        <w:numPr>
          <w:ilvl w:val="0"/>
          <w:numId w:val="1"/>
        </w:numPr>
        <w:spacing w:after="60" w:line="268"/>
      </w:pPr>
      <w:r>
        <w:rPr>
          <w:rFonts w:ascii="Montserrat" w:cs="Montserrat" w:eastAsia="Montserrat" w:hAnsi="Montserrat"/>
          <w:color w:val="222222"/>
          <w:sz w:val="21"/>
          <w:szCs w:val="21"/>
        </w:rPr>
        <w:t xml:space="preserve">Mechanical complications with the implant, abutment, or final restoration over time (loosening, fracture)</w:t>
      </w:r>
    </w:p>
    <w:p>
      <w:pPr>
        <w:pStyle w:val="ListParagraph"/>
        <w:numPr>
          <w:ilvl w:val="0"/>
          <w:numId w:val="1"/>
        </w:numPr>
        <w:spacing w:after="60" w:line="268"/>
      </w:pPr>
      <w:r>
        <w:rPr>
          <w:rFonts w:ascii="Montserrat" w:cs="Montserrat" w:eastAsia="Montserrat" w:hAnsi="Montserrat"/>
          <w:color w:val="222222"/>
          <w:sz w:val="21"/>
          <w:szCs w:val="21"/>
        </w:rPr>
        <w:t xml:space="preserve">Peri-implantitis (infection/inflammation around an implant) if oral hygiene and maintenance visits are not maintained</w:t>
      </w:r>
    </w:p>
    <w:p>
      <w:pPr>
        <w:pStyle w:val="ListParagraph"/>
        <w:numPr>
          <w:ilvl w:val="0"/>
          <w:numId w:val="1"/>
        </w:numPr>
        <w:spacing w:after="60" w:line="268"/>
      </w:pPr>
      <w:r>
        <w:rPr>
          <w:rFonts w:ascii="Montserrat" w:cs="Montserrat" w:eastAsia="Montserrat" w:hAnsi="Montserrat"/>
          <w:color w:val="222222"/>
          <w:sz w:val="21"/>
          <w:szCs w:val="21"/>
        </w:rPr>
        <w:t xml:space="preserve">Need for additional surgery, grafting, or referral to a specialist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Alternatives to Treatment</w:t>
      </w:r>
    </w:p>
    <w:p>
      <w:pPr>
        <w:pStyle w:val="ListParagraph"/>
        <w:numPr>
          <w:ilvl w:val="0"/>
          <w:numId w:val="1"/>
        </w:numPr>
        <w:spacing w:after="60" w:line="268"/>
      </w:pPr>
      <w:r>
        <w:rPr>
          <w:rFonts w:ascii="Montserrat" w:cs="Montserrat" w:eastAsia="Montserrat" w:hAnsi="Montserrat"/>
          <w:color w:val="222222"/>
          <w:sz w:val="21"/>
          <w:szCs w:val="21"/>
        </w:rPr>
        <w:t xml:space="preserve">Fixed bridge supported by adjacent teeth</w:t>
      </w:r>
    </w:p>
    <w:p>
      <w:pPr>
        <w:pStyle w:val="ListParagraph"/>
        <w:numPr>
          <w:ilvl w:val="0"/>
          <w:numId w:val="1"/>
        </w:numPr>
        <w:spacing w:after="60" w:line="268"/>
      </w:pPr>
      <w:r>
        <w:rPr>
          <w:rFonts w:ascii="Montserrat" w:cs="Montserrat" w:eastAsia="Montserrat" w:hAnsi="Montserrat"/>
          <w:color w:val="222222"/>
          <w:sz w:val="21"/>
          <w:szCs w:val="21"/>
        </w:rPr>
        <w:t xml:space="preserve">Removable partial or complete denture</w:t>
      </w:r>
    </w:p>
    <w:p>
      <w:pPr>
        <w:pStyle w:val="ListParagraph"/>
        <w:numPr>
          <w:ilvl w:val="0"/>
          <w:numId w:val="1"/>
        </w:numPr>
        <w:spacing w:after="60" w:line="268"/>
      </w:pPr>
      <w:r>
        <w:rPr>
          <w:rFonts w:ascii="Montserrat" w:cs="Montserrat" w:eastAsia="Montserrat" w:hAnsi="Montserrat"/>
          <w:color w:val="222222"/>
          <w:sz w:val="21"/>
          <w:szCs w:val="21"/>
        </w:rPr>
        <w:t xml:space="preserve">No replacement of the missing tooth/teeth</w:t>
      </w:r>
    </w:p>
    <w:p>
      <w:pPr>
        <w:pStyle w:val="ListParagraph"/>
        <w:numPr>
          <w:ilvl w:val="0"/>
          <w:numId w:val="1"/>
        </w:numPr>
        <w:spacing w:after="60" w:line="268"/>
      </w:pPr>
      <w:r>
        <w:rPr>
          <w:rFonts w:ascii="Montserrat" w:cs="Montserrat" w:eastAsia="Montserrat" w:hAnsi="Montserrat"/>
          <w:color w:val="222222"/>
          <w:sz w:val="21"/>
          <w:szCs w:val="21"/>
        </w:rPr>
        <w:t xml:space="preserve">Referral to an oral surgeon or periodontist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Additional Information</w:t>
      </w:r>
    </w:p>
    <w:p>
      <w:pPr>
        <w:spacing w:after="160" w:line="276"/>
      </w:pPr>
      <w:r>
        <w:rPr>
          <w:rFonts w:ascii="Montserrat" w:cs="Montserrat" w:eastAsia="Montserrat" w:hAnsi="Montserrat"/>
          <w:color w:val="222222"/>
          <w:sz w:val="21"/>
          <w:szCs w:val="21"/>
        </w:rPr>
        <w:t xml:space="preserve">Successful integration of a dental implant depends significantly on the patient's oral hygiene, avoidance of tobacco products, control of underlying conditions such as diabetes, and attendance at recommended follow-up and maintenance visits. I understand my role in the long-term success of this treatment.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Patient Acknowledgement and Consent</w:t>
      </w:r>
    </w:p>
    <w:p>
      <w:pPr>
        <w:spacing w:after="160" w:line="276"/>
      </w:pPr>
      <w:r>
        <w:rPr>
          <w:rFonts w:ascii="Montserrat" w:cs="Montserrat" w:eastAsia="Montserrat" w:hAnsi="Montserrat"/>
          <w:color w:val="222222"/>
          <w:sz w:val="21"/>
          <w:szCs w:val="21"/>
        </w:rPr>
        <w:t xml:space="preserve">I confirm that the treating dentist (or a member of the clinical team acting on the dentist's behalf) has explained the recommended treatment described above, including its expected benefits, the risks and possible complications, and the reasonable alternatives, including the alternative of no treatment. I have had the opportunity to ask questions about this treatment, and my questions have been answered to my satisfaction. I understand that dentistry is not an exact science and that no specific result or outcome has been guaranteed to me. I understand that unforeseen conditions may be discovered during treatment that require a change to the plan described here, and I authorize the treating dentist to make reasonable adjustments to the treatment plan as professional judgment requires. I understand I will receive care instructions related to this treatment and that it is my responsibility to follow them and to contact this office promptly with any questions or concerns. Having read and understood the above, I voluntarily consent to the treatment described in this form.</w:t>
      </w:r>
    </w:p>
    <w:p>
      <w:pPr>
        <w:tabs>
          <w:tab w:val="left" w:pos="9026"/>
        </w:tabs>
        <w:spacing w:after="120" w:before="120"/>
      </w:pPr>
      <w:r>
        <w:rPr>
          <w:rFonts w:ascii="Montserrat" w:cs="Montserrat" w:eastAsia="Montserrat" w:hAnsi="Montserrat"/>
          <w:b/>
          <w:bCs/>
          <w:color w:val="0D1729"/>
          <w:sz w:val="21"/>
          <w:szCs w:val="21"/>
        </w:rPr>
        <w:t xml:space="preserve">Patient Name (print):  </w:t>
      </w:r>
      <w:r>
        <w:rPr>
          <w:rFonts w:ascii="Montserrat" w:cs="Montserrat" w:eastAsia="Montserrat" w:hAnsi="Montserrat"/>
          <w:color w:val="222222"/>
          <w:sz w:val="21"/>
          <w:szCs w:val="21"/>
        </w:rPr>
        <w:t xml:space="preserve">_______________________________________________________</w:t>
      </w:r>
    </w:p>
    <w:p>
      <w:pPr>
        <w:spacing w:after="120" w:before="120"/>
      </w:pPr>
      <w:r>
        <w:rPr>
          <w:rFonts w:ascii="Montserrat" w:cs="Montserrat" w:eastAsia="Montserrat" w:hAnsi="Montserrat"/>
          <w:b/>
          <w:bCs/>
          <w:color w:val="0D1729"/>
          <w:sz w:val="21"/>
          <w:szCs w:val="21"/>
        </w:rPr>
        <w:t xml:space="preserve">Date of Birth:  </w:t>
      </w:r>
      <w:r>
        <w:rPr>
          <w:rFonts w:ascii="Montserrat" w:cs="Montserrat" w:eastAsia="Montserrat" w:hAnsi="Montserrat"/>
          <w:color w:val="222222"/>
          <w:sz w:val="21"/>
          <w:szCs w:val="21"/>
        </w:rPr>
        <w:t xml:space="preserve">____________________     </w:t>
      </w:r>
      <w:r>
        <w:rPr>
          <w:rFonts w:ascii="Montserrat" w:cs="Montserrat" w:eastAsia="Montserrat" w:hAnsi="Montserrat"/>
          <w:b/>
          <w:bCs/>
          <w:color w:val="0D1729"/>
          <w:sz w:val="21"/>
          <w:szCs w:val="21"/>
        </w:rPr>
        <w:t xml:space="preserve">Date:  </w:t>
      </w:r>
      <w:r>
        <w:rPr>
          <w:rFonts w:ascii="Montserrat" w:cs="Montserrat" w:eastAsia="Montserrat" w:hAnsi="Montserrat"/>
          <w:color w:val="222222"/>
          <w:sz w:val="21"/>
          <w:szCs w:val="21"/>
        </w:rPr>
        <w:t xml:space="preserve">____________________</w:t>
      </w:r>
    </w:p>
    <w:p>
      <w:pPr>
        <w:tabs>
          <w:tab w:val="left" w:pos="9026"/>
        </w:tabs>
        <w:spacing w:after="120" w:before="120"/>
      </w:pPr>
      <w:r>
        <w:rPr>
          <w:rFonts w:ascii="Montserrat" w:cs="Montserrat" w:eastAsia="Montserrat" w:hAnsi="Montserrat"/>
          <w:b/>
          <w:bCs/>
          <w:color w:val="0D1729"/>
          <w:sz w:val="21"/>
          <w:szCs w:val="21"/>
        </w:rPr>
        <w:t xml:space="preserve">Tooth #(s) / Treatment Area:  </w:t>
      </w:r>
      <w:r>
        <w:rPr>
          <w:rFonts w:ascii="Montserrat" w:cs="Montserrat" w:eastAsia="Montserrat" w:hAnsi="Montserrat"/>
          <w:color w:val="222222"/>
          <w:sz w:val="21"/>
          <w:szCs w:val="21"/>
        </w:rPr>
        <w:t xml:space="preserve">_____________________________________________</w:t>
      </w:r>
    </w:p>
    <w:p>
      <w:pPr>
        <w:spacing w:before="260"/>
      </w:pPr>
    </w:p>
    <w:p>
      <w:pPr>
        <w:tabs>
          <w:tab w:val="left" w:pos="9026"/>
        </w:tabs>
        <w:spacing w:after="120" w:before="120"/>
      </w:pPr>
      <w:r>
        <w:rPr>
          <w:rFonts w:ascii="Montserrat" w:cs="Montserrat" w:eastAsia="Montserrat" w:hAnsi="Montserrat"/>
          <w:b/>
          <w:bCs/>
          <w:color w:val="0D1729"/>
          <w:sz w:val="21"/>
          <w:szCs w:val="21"/>
        </w:rPr>
        <w:t xml:space="preserve">Patient (or Parent/Guardian) Signature:  </w:t>
      </w:r>
      <w:r>
        <w:rPr>
          <w:rFonts w:ascii="Montserrat" w:cs="Montserrat" w:eastAsia="Montserrat" w:hAnsi="Montserrat"/>
          <w:color w:val="222222"/>
          <w:sz w:val="21"/>
          <w:szCs w:val="21"/>
        </w:rPr>
        <w:t xml:space="preserve">_____________________________________________</w:t>
      </w:r>
    </w:p>
    <w:p>
      <w:pPr>
        <w:tabs>
          <w:tab w:val="left" w:pos="9026"/>
        </w:tabs>
        <w:spacing w:after="120" w:before="120"/>
      </w:pPr>
      <w:r>
        <w:rPr>
          <w:rFonts w:ascii="Montserrat" w:cs="Montserrat" w:eastAsia="Montserrat" w:hAnsi="Montserrat"/>
          <w:b/>
          <w:bCs/>
          <w:color w:val="0D1729"/>
          <w:sz w:val="21"/>
          <w:szCs w:val="21"/>
        </w:rPr>
        <w:t xml:space="preserve">Providing Dentist (print name):  </w:t>
      </w:r>
      <w:r>
        <w:rPr>
          <w:rFonts w:ascii="Montserrat" w:cs="Montserrat" w:eastAsia="Montserrat" w:hAnsi="Montserrat"/>
          <w:color w:val="222222"/>
          <w:sz w:val="21"/>
          <w:szCs w:val="21"/>
        </w:rPr>
        <w:t xml:space="preserve">_____________________________________________</w:t>
      </w:r>
    </w:p>
    <w:p>
      <w:pPr>
        <w:pBdr>
          <w:top w:val="single" w:color="6B8E5A" w:sz="4" w:space="4"/>
        </w:pBdr>
        <w:spacing w:before="300"/>
        <w:jc w:val="center"/>
      </w:pPr>
      <w:r>
        <w:rPr>
          <w:rFonts w:ascii="Montserrat" w:cs="Montserrat" w:eastAsia="Montserrat" w:hAnsi="Montserrat"/>
          <w:i/>
          <w:iCs/>
          <w:color w:val="B78A69"/>
          <w:sz w:val="15"/>
          <w:szCs w:val="15"/>
        </w:rPr>
        <w:t xml:space="preserve">Brandon Williams, DMD  •  Advanced Surgical &amp; Implant Care</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14233D"/>
      <w:sz w:val="32"/>
      <w:szCs w:val="32"/>
    </w:rPr>
  </w:style>
  <w:style w:type="paragraph" w:styleId="Heading2">
    <w:name w:val="Heading 2"/>
    <w:basedOn w:val="Normal"/>
    <w:next w:val="Normal"/>
    <w:qFormat/>
    <w:rPr>
      <w:color w:val="14233D"/>
      <w:sz w:val="26"/>
      <w:szCs w:val="26"/>
    </w:rPr>
  </w:style>
  <w:style w:type="paragraph" w:styleId="Heading3">
    <w:name w:val="Heading 3"/>
    <w:basedOn w:val="Normal"/>
    <w:next w:val="Normal"/>
    <w:qFormat/>
    <w:rPr>
      <w:color w:val="0D1729"/>
      <w:sz w:val="24"/>
      <w:szCs w:val="24"/>
    </w:rPr>
  </w:style>
  <w:style w:type="paragraph" w:styleId="Heading4">
    <w:name w:val="Heading 4"/>
    <w:basedOn w:val="Normal"/>
    <w:next w:val="Normal"/>
    <w:qFormat/>
    <w:rPr>
      <w:i/>
      <w:iCs/>
      <w:color w:val="14233D"/>
    </w:rPr>
  </w:style>
  <w:style w:type="paragraph" w:styleId="Heading5">
    <w:name w:val="Heading 5"/>
    <w:basedOn w:val="Normal"/>
    <w:next w:val="Normal"/>
    <w:qFormat/>
    <w:rPr>
      <w:color w:val="14233D"/>
    </w:rPr>
  </w:style>
  <w:style w:type="paragraph" w:styleId="Heading6">
    <w:name w:val="Heading 6"/>
    <w:basedOn w:val="Normal"/>
    <w:next w:val="Normal"/>
    <w:qFormat/>
    <w:rPr>
      <w:color w:val="0D1729"/>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8A6A4A"/>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ada7bf3f83fa142b0be369d8039c0463a56599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2026-07-05T16:39:53.517Z</dcterms:created>
  <dcterms:modified xsi:type="dcterms:W3CDTF">2026-07-05T16:39:53.517Z</dcterms:modified>
</cp:coreProperties>
</file>

<file path=docProps/custom.xml><?xml version="1.0" encoding="utf-8"?>
<Properties xmlns="http://schemas.openxmlformats.org/officeDocument/2006/custom-properties" xmlns:vt="http://schemas.openxmlformats.org/officeDocument/2006/docPropsVTypes"/>
</file>