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IV (INTRAVENOUS) MODERATE SEDATION</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Administration of sedative medication through an intravenous (IV) line placed in the arm or hand to produce a minimally to moderately depressed level of consciousness during dental treatment. The patient's breathing, heart rate, blood pressure, and oxygen levels are monitored throughout the procedure. IV moderate sedation is not the same as general anesthesia; the patient remains able to respond to verbal commands and maintain their own airway.</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Provides a more controllable and adjustable level of sedation than oral or inhalation sedation</w:t>
      </w:r>
    </w:p>
    <w:p>
      <w:pPr>
        <w:pStyle w:val="ListParagraph"/>
        <w:numPr>
          <w:ilvl w:val="0"/>
          <w:numId w:val="1"/>
        </w:numPr>
        <w:spacing w:after="60" w:line="268"/>
      </w:pPr>
      <w:r>
        <w:rPr>
          <w:rFonts w:ascii="Montserrat" w:cs="Montserrat" w:eastAsia="Montserrat" w:hAnsi="Montserrat"/>
          <w:color w:val="222222"/>
          <w:sz w:val="21"/>
          <w:szCs w:val="21"/>
        </w:rPr>
        <w:t xml:space="preserve">Reduces anxiety, discomfort, and memory of the procedure for patients with significant dental anxiety or extensive treatment needs</w:t>
      </w:r>
    </w:p>
    <w:p>
      <w:pPr>
        <w:pStyle w:val="ListParagraph"/>
        <w:numPr>
          <w:ilvl w:val="0"/>
          <w:numId w:val="1"/>
        </w:numPr>
        <w:spacing w:after="60" w:line="268"/>
      </w:pPr>
      <w:r>
        <w:rPr>
          <w:rFonts w:ascii="Montserrat" w:cs="Montserrat" w:eastAsia="Montserrat" w:hAnsi="Montserrat"/>
          <w:color w:val="222222"/>
          <w:sz w:val="21"/>
          <w:szCs w:val="21"/>
        </w:rPr>
        <w:t xml:space="preserve">Allows the sedation level to be adjusted more precisely during treatment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Bruising, swelling, tenderness, or infection at the IV insertion site</w:t>
      </w:r>
    </w:p>
    <w:p>
      <w:pPr>
        <w:pStyle w:val="ListParagraph"/>
        <w:numPr>
          <w:ilvl w:val="0"/>
          <w:numId w:val="1"/>
        </w:numPr>
        <w:spacing w:after="60" w:line="268"/>
      </w:pPr>
      <w:r>
        <w:rPr>
          <w:rFonts w:ascii="Montserrat" w:cs="Montserrat" w:eastAsia="Montserrat" w:hAnsi="Montserrat"/>
          <w:color w:val="222222"/>
          <w:sz w:val="21"/>
          <w:szCs w:val="21"/>
        </w:rPr>
        <w:t xml:space="preserve">Nausea and vomiting</w:t>
      </w:r>
    </w:p>
    <w:p>
      <w:pPr>
        <w:pStyle w:val="ListParagraph"/>
        <w:numPr>
          <w:ilvl w:val="0"/>
          <w:numId w:val="1"/>
        </w:numPr>
        <w:spacing w:after="60" w:line="268"/>
      </w:pPr>
      <w:r>
        <w:rPr>
          <w:rFonts w:ascii="Montserrat" w:cs="Montserrat" w:eastAsia="Montserrat" w:hAnsi="Montserrat"/>
          <w:color w:val="222222"/>
          <w:sz w:val="21"/>
          <w:szCs w:val="21"/>
        </w:rPr>
        <w:t xml:space="preserve">Allergic or atypical reaction to sedative medications</w:t>
      </w:r>
    </w:p>
    <w:p>
      <w:pPr>
        <w:pStyle w:val="ListParagraph"/>
        <w:numPr>
          <w:ilvl w:val="0"/>
          <w:numId w:val="1"/>
        </w:numPr>
        <w:spacing w:after="60" w:line="268"/>
      </w:pPr>
      <w:r>
        <w:rPr>
          <w:rFonts w:ascii="Montserrat" w:cs="Montserrat" w:eastAsia="Montserrat" w:hAnsi="Montserrat"/>
          <w:color w:val="222222"/>
          <w:sz w:val="21"/>
          <w:szCs w:val="21"/>
        </w:rPr>
        <w:t xml:space="preserve">Depressed breathing, decreased blood oxygen levels, or changes in heart rate or blood pressure requiring intervention</w:t>
      </w:r>
    </w:p>
    <w:p>
      <w:pPr>
        <w:pStyle w:val="ListParagraph"/>
        <w:numPr>
          <w:ilvl w:val="0"/>
          <w:numId w:val="1"/>
        </w:numPr>
        <w:spacing w:after="60" w:line="268"/>
      </w:pPr>
      <w:r>
        <w:rPr>
          <w:rFonts w:ascii="Montserrat" w:cs="Montserrat" w:eastAsia="Montserrat" w:hAnsi="Montserrat"/>
          <w:color w:val="222222"/>
          <w:sz w:val="21"/>
          <w:szCs w:val="21"/>
        </w:rPr>
        <w:t xml:space="preserve">Prolonged drowsiness, confusion, or impaired coordination and judgment after the appointment</w:t>
      </w:r>
    </w:p>
    <w:p>
      <w:pPr>
        <w:pStyle w:val="ListParagraph"/>
        <w:numPr>
          <w:ilvl w:val="0"/>
          <w:numId w:val="1"/>
        </w:numPr>
        <w:spacing w:after="60" w:line="268"/>
      </w:pPr>
      <w:r>
        <w:rPr>
          <w:rFonts w:ascii="Montserrat" w:cs="Montserrat" w:eastAsia="Montserrat" w:hAnsi="Montserrat"/>
          <w:color w:val="222222"/>
          <w:sz w:val="21"/>
          <w:szCs w:val="21"/>
        </w:rPr>
        <w:t xml:space="preserve">In rare cases, more serious cardiovascular or respiratory complications requiring emergency intervention or hospital transfer</w:t>
      </w:r>
    </w:p>
    <w:p>
      <w:pPr>
        <w:pStyle w:val="ListParagraph"/>
        <w:numPr>
          <w:ilvl w:val="0"/>
          <w:numId w:val="1"/>
        </w:numPr>
        <w:spacing w:after="60" w:line="268"/>
      </w:pPr>
      <w:r>
        <w:rPr>
          <w:rFonts w:ascii="Montserrat" w:cs="Montserrat" w:eastAsia="Montserrat" w:hAnsi="Montserrat"/>
          <w:color w:val="222222"/>
          <w:sz w:val="21"/>
          <w:szCs w:val="21"/>
        </w:rPr>
        <w:t xml:space="preserve">Difficulty establishing IV access in some patients</w:t>
      </w:r>
    </w:p>
    <w:p>
      <w:pPr>
        <w:pStyle w:val="ListParagraph"/>
        <w:numPr>
          <w:ilvl w:val="0"/>
          <w:numId w:val="1"/>
        </w:numPr>
        <w:spacing w:after="60" w:line="268"/>
      </w:pPr>
      <w:r>
        <w:rPr>
          <w:rFonts w:ascii="Montserrat" w:cs="Montserrat" w:eastAsia="Montserrat" w:hAnsi="Montserrat"/>
          <w:color w:val="222222"/>
          <w:sz w:val="21"/>
          <w:szCs w:val="21"/>
        </w:rPr>
        <w:t xml:space="preserve">Little to no memory of the procedure (amnesia), which is an expected effect rather than a complication for most patients</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Local anesthetic alone, without sedation</w:t>
      </w:r>
    </w:p>
    <w:p>
      <w:pPr>
        <w:pStyle w:val="ListParagraph"/>
        <w:numPr>
          <w:ilvl w:val="0"/>
          <w:numId w:val="1"/>
        </w:numPr>
        <w:spacing w:after="60" w:line="268"/>
      </w:pPr>
      <w:r>
        <w:rPr>
          <w:rFonts w:ascii="Montserrat" w:cs="Montserrat" w:eastAsia="Montserrat" w:hAnsi="Montserrat"/>
          <w:color w:val="222222"/>
          <w:sz w:val="21"/>
          <w:szCs w:val="21"/>
        </w:rPr>
        <w:t xml:space="preserve">Nitrous oxide (inhalation) sedation</w:t>
      </w:r>
    </w:p>
    <w:p>
      <w:pPr>
        <w:pStyle w:val="ListParagraph"/>
        <w:numPr>
          <w:ilvl w:val="0"/>
          <w:numId w:val="1"/>
        </w:numPr>
        <w:spacing w:after="60" w:line="268"/>
      </w:pPr>
      <w:r>
        <w:rPr>
          <w:rFonts w:ascii="Montserrat" w:cs="Montserrat" w:eastAsia="Montserrat" w:hAnsi="Montserrat"/>
          <w:color w:val="222222"/>
          <w:sz w:val="21"/>
          <w:szCs w:val="21"/>
        </w:rPr>
        <w:t xml:space="preserve">Oral conscious sedation</w:t>
      </w:r>
    </w:p>
    <w:p>
      <w:pPr>
        <w:pStyle w:val="ListParagraph"/>
        <w:numPr>
          <w:ilvl w:val="0"/>
          <w:numId w:val="1"/>
        </w:numPr>
        <w:spacing w:after="60" w:line="268"/>
      </w:pPr>
      <w:r>
        <w:rPr>
          <w:rFonts w:ascii="Montserrat" w:cs="Montserrat" w:eastAsia="Montserrat" w:hAnsi="Montserrat"/>
          <w:color w:val="222222"/>
          <w:sz w:val="21"/>
          <w:szCs w:val="21"/>
        </w:rPr>
        <w:t xml:space="preserve">Referral for general anesthesia in a hospital or ambulatory surgical setting</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Additional Information</w:t>
      </w:r>
    </w:p>
    <w:p>
      <w:pPr>
        <w:spacing w:after="160" w:line="276"/>
      </w:pPr>
      <w:r>
        <w:rPr>
          <w:rFonts w:ascii="Montserrat" w:cs="Montserrat" w:eastAsia="Montserrat" w:hAnsi="Montserrat"/>
          <w:color w:val="222222"/>
          <w:sz w:val="21"/>
          <w:szCs w:val="21"/>
        </w:rPr>
        <w:t xml:space="preserve">I understand that I must arrange for a responsible adult to drive me to and from my appointment and remain with me for the remainder of the day, and that I will not drive, operate machinery, consume alcohol, or make important decisions for at least 24 hours following sedation, or as otherwise instructed.</w:t>
      </w:r>
    </w:p>
    <w:p>
      <w:pPr>
        <w:spacing w:after="160" w:line="276"/>
      </w:pPr>
      <w:r>
        <w:rPr>
          <w:rFonts w:ascii="Montserrat" w:cs="Montserrat" w:eastAsia="Montserrat" w:hAnsi="Montserrat"/>
          <w:color w:val="222222"/>
          <w:sz w:val="21"/>
          <w:szCs w:val="21"/>
        </w:rPr>
        <w:t xml:space="preserve">I confirm that I have followed all pre-sedation instructions provided to me, including fasting requirements, and that I have disclosed my complete medical history, current medications and supplements, allergies, and pregnancy/breastfeeding status to the treating dentist.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2026-07-05T16:39:53.699Z</dcterms:created>
  <dcterms:modified xsi:type="dcterms:W3CDTF">2026-07-05T16:39:53.699Z</dcterms:modified>
</cp:coreProperties>
</file>

<file path=docProps/custom.xml><?xml version="1.0" encoding="utf-8"?>
<Properties xmlns="http://schemas.openxmlformats.org/officeDocument/2006/custom-properties" xmlns:vt="http://schemas.openxmlformats.org/officeDocument/2006/docPropsVTypes"/>
</file>